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6" w:rsidRDefault="00F007A9" w:rsidP="00CE390E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-91440</wp:posOffset>
                </wp:positionV>
                <wp:extent cx="2529840" cy="5242560"/>
                <wp:effectExtent l="0" t="381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2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90E" w:rsidRDefault="00CE390E" w:rsidP="00CE390E">
                            <w:pPr>
                              <w:pStyle w:val="Insidetext"/>
                              <w:jc w:val="lef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CE390E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 bioregional approach to economics assumes a different system of values to that which dominates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our world</w:t>
                            </w:r>
                            <w:r w:rsidRPr="00CE390E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. The global economy is driven by growth and the consumption ethic that supports this is one of expansion in range of quantity. The bioregional approach seeks a new ethic of consumption that priorities locality, account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-</w:t>
                            </w:r>
                            <w:r w:rsidRPr="00CE390E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ability and conviviality in the place of expansion and profit.</w:t>
                            </w:r>
                          </w:p>
                          <w:p w:rsidR="00CE390E" w:rsidRPr="00CE390E" w:rsidRDefault="00CE390E" w:rsidP="00CE390E">
                            <w:pPr>
                              <w:pStyle w:val="Insidetext"/>
                              <w:jc w:val="left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>
                              <w:rPr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The Bioregional Economy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leading green economist Molly Scott Cato sets out a visionary and yet rigorous account of what a bioregional approach to the economy would mean.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4pt;margin-top:-7.2pt;width:199.2pt;height:41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E390E" w:rsidRDefault="00CE390E" w:rsidP="00CE390E">
                      <w:pPr>
                        <w:pStyle w:val="Insidetext"/>
                        <w:jc w:val="lef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CE390E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A bioregional approach to economics assumes a different system of values to that which domi</w:t>
                      </w:r>
                      <w:bookmarkStart w:id="1" w:name="_GoBack"/>
                      <w:bookmarkEnd w:id="1"/>
                      <w:r w:rsidRPr="00CE390E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nates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our world</w:t>
                      </w:r>
                      <w:r w:rsidRPr="00CE390E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. The global economy is driven by growth and the consumption ethic that supports this is one of expansion in range of quantity. The bioregional approach seeks a new ethic of consumption that priorities locality, account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-</w:t>
                      </w:r>
                      <w:r w:rsidRPr="00CE390E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ability and conviviality in the place of expansion and profit.</w:t>
                      </w:r>
                    </w:p>
                    <w:p w:rsidR="00CE390E" w:rsidRPr="00CE390E" w:rsidRDefault="00CE390E" w:rsidP="00CE390E">
                      <w:pPr>
                        <w:pStyle w:val="Insidetext"/>
                        <w:jc w:val="left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In </w:t>
                      </w:r>
                      <w:r>
                        <w:rPr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The Bioregional Economy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leading green economist Molly Scott Cato sets out a visionary and yet rigorous account of what a bioregional approach to the economy would mean.</w:t>
                      </w:r>
                    </w:p>
                  </w:txbxContent>
                </v:textbox>
              </v:shape>
            </w:pict>
          </mc:Fallback>
        </mc:AlternateContent>
      </w:r>
      <w:r w:rsidR="00CE390E">
        <w:rPr>
          <w:noProof/>
          <w:lang w:val="en-GB" w:eastAsia="en-GB"/>
        </w:rPr>
        <w:drawing>
          <wp:inline distT="0" distB="0" distL="0" distR="0" wp14:anchorId="05F78C9F" wp14:editId="04DA5874">
            <wp:extent cx="3429000" cy="5206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5410200</wp:posOffset>
                </wp:positionV>
                <wp:extent cx="6294120" cy="3038475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10F" w:rsidRPr="00CE390E" w:rsidRDefault="00CE390E" w:rsidP="00D369FA">
                            <w:pPr>
                              <w:pStyle w:val="Insidetext"/>
                              <w:rPr>
                                <w:color w:val="4F6228" w:themeColor="accent3" w:themeShade="80"/>
                              </w:rPr>
                            </w:pPr>
                            <w:r w:rsidRPr="00CE390E">
                              <w:rPr>
                                <w:color w:val="4F6228" w:themeColor="accent3" w:themeShade="80"/>
                              </w:rPr>
                              <w:t>Join us to launch Molly Scott Cato’s new Book</w:t>
                            </w:r>
                          </w:p>
                          <w:p w:rsidR="003A510F" w:rsidRPr="00CE390E" w:rsidRDefault="00CE390E" w:rsidP="00D369FA">
                            <w:pPr>
                              <w:pStyle w:val="InsideDateTime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Wednesday 12</w:t>
                            </w:r>
                            <w:r w:rsidRPr="00CE390E">
                              <w:rPr>
                                <w:color w:val="4F6228" w:themeColor="accent3" w:themeShade="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 xml:space="preserve"> December</w:t>
                            </w:r>
                            <w:r w:rsidR="003A510F" w:rsidRPr="00CE390E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3A510F" w:rsidRPr="00CE390E">
                              <w:rPr>
                                <w:color w:val="4F6228" w:themeColor="accent3" w:themeShade="80"/>
                              </w:rPr>
                              <w:br/>
                              <w:t xml:space="preserve">at 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5</w:t>
                            </w:r>
                            <w:r w:rsidR="003A510F" w:rsidRPr="00CE390E">
                              <w:rPr>
                                <w:color w:val="4F6228" w:themeColor="accent3" w:themeShade="80"/>
                              </w:rPr>
                              <w:t>:00 pm</w:t>
                            </w:r>
                          </w:p>
                          <w:p w:rsidR="00CE390E" w:rsidRDefault="0024678C" w:rsidP="00CE390E">
                            <w:pPr>
                              <w:pStyle w:val="Insidetext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Room: Convent 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Parlour</w:t>
                            </w:r>
                            <w:bookmarkStart w:id="0" w:name="_GoBack"/>
                            <w:bookmarkEnd w:id="0"/>
                          </w:p>
                          <w:p w:rsidR="00CE390E" w:rsidRDefault="00CE390E" w:rsidP="00CE390E">
                            <w:pPr>
                              <w:pStyle w:val="Insidetext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CE390E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A presentation on the bioregional economy and its implications for sustainability, followed by the formal launch and celebratory drinks at 6pm</w:t>
                            </w:r>
                          </w:p>
                          <w:p w:rsidR="00CE390E" w:rsidRPr="00CE390E" w:rsidRDefault="00CE390E" w:rsidP="00CE390E">
                            <w:pPr>
                              <w:pStyle w:val="Insidetext"/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CE390E" w:rsidRPr="00CE390E" w:rsidRDefault="00CE390E" w:rsidP="00CE390E">
                            <w:pPr>
                              <w:pStyle w:val="Insidetext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Part of the Roehampton Business School research seminar 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4.4pt;margin-top:426pt;width:495.6pt;height:23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cfDwMAAL4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A510F" w:rsidRPr="00CE390E" w:rsidRDefault="00CE390E" w:rsidP="00D369FA">
                      <w:pPr>
                        <w:pStyle w:val="Insidetext"/>
                        <w:rPr>
                          <w:color w:val="4F6228" w:themeColor="accent3" w:themeShade="80"/>
                        </w:rPr>
                      </w:pPr>
                      <w:r w:rsidRPr="00CE390E">
                        <w:rPr>
                          <w:color w:val="4F6228" w:themeColor="accent3" w:themeShade="80"/>
                        </w:rPr>
                        <w:t>Join us to launch Molly Scott Cato’s new Book</w:t>
                      </w:r>
                    </w:p>
                    <w:p w:rsidR="003A510F" w:rsidRPr="00CE390E" w:rsidRDefault="00CE390E" w:rsidP="00D369FA">
                      <w:pPr>
                        <w:pStyle w:val="InsideDateTime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Wednesday 12</w:t>
                      </w:r>
                      <w:r w:rsidRPr="00CE390E">
                        <w:rPr>
                          <w:color w:val="4F6228" w:themeColor="accent3" w:themeShade="80"/>
                          <w:vertAlign w:val="superscript"/>
                        </w:rPr>
                        <w:t>th</w:t>
                      </w:r>
                      <w:r>
                        <w:rPr>
                          <w:color w:val="4F6228" w:themeColor="accent3" w:themeShade="80"/>
                        </w:rPr>
                        <w:t xml:space="preserve"> December</w:t>
                      </w:r>
                      <w:r w:rsidR="003A510F" w:rsidRPr="00CE390E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3A510F" w:rsidRPr="00CE390E">
                        <w:rPr>
                          <w:color w:val="4F6228" w:themeColor="accent3" w:themeShade="80"/>
                        </w:rPr>
                        <w:br/>
                        <w:t xml:space="preserve">at </w:t>
                      </w:r>
                      <w:r>
                        <w:rPr>
                          <w:color w:val="4F6228" w:themeColor="accent3" w:themeShade="80"/>
                        </w:rPr>
                        <w:t>5</w:t>
                      </w:r>
                      <w:r w:rsidR="003A510F" w:rsidRPr="00CE390E">
                        <w:rPr>
                          <w:color w:val="4F6228" w:themeColor="accent3" w:themeShade="80"/>
                        </w:rPr>
                        <w:t>:00 pm</w:t>
                      </w:r>
                    </w:p>
                    <w:p w:rsidR="00CE390E" w:rsidRDefault="0024678C" w:rsidP="00CE390E">
                      <w:pPr>
                        <w:pStyle w:val="Insidetext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Room: Convent </w:t>
                      </w:r>
                      <w:r>
                        <w:rPr>
                          <w:color w:val="4F6228" w:themeColor="accent3" w:themeShade="80"/>
                        </w:rPr>
                        <w:t>Parlour</w:t>
                      </w:r>
                      <w:bookmarkStart w:id="1" w:name="_GoBack"/>
                      <w:bookmarkEnd w:id="1"/>
                    </w:p>
                    <w:p w:rsidR="00CE390E" w:rsidRDefault="00CE390E" w:rsidP="00CE390E">
                      <w:pPr>
                        <w:pStyle w:val="Insidetext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CE390E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A presentation on the bioregional economy and its implications for sustainability, followed by the formal launch and celebratory drinks at 6pm</w:t>
                      </w:r>
                    </w:p>
                    <w:p w:rsidR="00CE390E" w:rsidRPr="00CE390E" w:rsidRDefault="00CE390E" w:rsidP="00CE390E">
                      <w:pPr>
                        <w:pStyle w:val="Insidetext"/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CE390E" w:rsidRPr="00CE390E" w:rsidRDefault="00CE390E" w:rsidP="00CE390E">
                      <w:pPr>
                        <w:pStyle w:val="Insidetext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Part of the Roehampton Business School research seminar series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E8" w:rsidRDefault="001609E8" w:rsidP="00407924">
      <w:pPr>
        <w:spacing w:after="0" w:line="240" w:lineRule="auto"/>
      </w:pPr>
      <w:r>
        <w:separator/>
      </w:r>
    </w:p>
  </w:endnote>
  <w:endnote w:type="continuationSeparator" w:id="0">
    <w:p w:rsidR="001609E8" w:rsidRDefault="001609E8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E8" w:rsidRDefault="001609E8" w:rsidP="00407924">
      <w:pPr>
        <w:spacing w:after="0" w:line="240" w:lineRule="auto"/>
      </w:pPr>
      <w:r>
        <w:separator/>
      </w:r>
    </w:p>
  </w:footnote>
  <w:footnote w:type="continuationSeparator" w:id="0">
    <w:p w:rsidR="001609E8" w:rsidRDefault="001609E8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0E"/>
    <w:rsid w:val="000A41CD"/>
    <w:rsid w:val="001609E8"/>
    <w:rsid w:val="0024678C"/>
    <w:rsid w:val="00310F2B"/>
    <w:rsid w:val="0031225F"/>
    <w:rsid w:val="003532FB"/>
    <w:rsid w:val="003A510F"/>
    <w:rsid w:val="00407924"/>
    <w:rsid w:val="00484597"/>
    <w:rsid w:val="0055148F"/>
    <w:rsid w:val="005C7627"/>
    <w:rsid w:val="00741B0B"/>
    <w:rsid w:val="007E56CB"/>
    <w:rsid w:val="008077D3"/>
    <w:rsid w:val="009E57DD"/>
    <w:rsid w:val="00AA0945"/>
    <w:rsid w:val="00AC646B"/>
    <w:rsid w:val="00AD40FE"/>
    <w:rsid w:val="00CE390E"/>
    <w:rsid w:val="00D369FA"/>
    <w:rsid w:val="00D431F6"/>
    <w:rsid w:val="00F007A9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CE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E"/>
    <w:rPr>
      <w:rFonts w:ascii="Tahoma" w:hAnsi="Tahoma" w:cs="Tahoma"/>
      <w:color w:val="244061" w:themeColor="accent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CE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0E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.scott-cato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Roehampton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temp</dc:creator>
  <cp:lastModifiedBy>temp</cp:lastModifiedBy>
  <cp:revision>3</cp:revision>
  <cp:lastPrinted>2012-10-09T10:44:00Z</cp:lastPrinted>
  <dcterms:created xsi:type="dcterms:W3CDTF">2012-10-09T11:00:00Z</dcterms:created>
  <dcterms:modified xsi:type="dcterms:W3CDTF">2012-11-14T11:05:00Z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